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61" w:line="256" w:lineRule="auto"/>
        <w:ind w:right="4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XIII EDITAL CEARÁ DE CINEMA E VÍDEO – 2016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before="0" w:line="240" w:lineRule="auto"/>
        <w:contextualSpacing w:val="0"/>
        <w:jc w:val="center"/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ANEXO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6"/>
          <w:szCs w:val="16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V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 </w:t>
      </w:r>
    </w:p>
    <w:p w:rsidR="00000000" w:rsidDel="00000000" w:rsidP="00000000" w:rsidRDefault="00000000" w:rsidRPr="00000000">
      <w:pPr>
        <w:spacing w:after="120" w:before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PARÂMETROS PARA CONTRATAÇÃ</w:t>
      </w:r>
      <w:r w:rsidDel="00000000" w:rsidR="00000000" w:rsidRPr="00000000">
        <w:rPr>
          <w:b w:val="1"/>
          <w:rtl w:val="0"/>
        </w:rPr>
        <w:t xml:space="preserve">O DO FSA – </w:t>
      </w:r>
      <w:r w:rsidDel="00000000" w:rsidR="00000000" w:rsidRPr="00000000">
        <w:rPr>
          <w:b w:val="1"/>
          <w:rtl w:val="0"/>
        </w:rPr>
        <w:t xml:space="preserve"> - PROJETOS DE DISTRIBUIÇÃO</w:t>
      </w:r>
    </w:p>
    <w:p w:rsidR="00000000" w:rsidDel="00000000" w:rsidP="00000000" w:rsidRDefault="00000000" w:rsidRPr="00000000">
      <w:pPr>
        <w:spacing w:after="120" w:before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rtl w:val="0"/>
        </w:rPr>
        <w:t xml:space="preserve"> 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120" w:before="0" w:line="240" w:lineRule="auto"/>
        <w:ind w:left="480" w:right="120" w:hanging="360"/>
        <w:jc w:val="both"/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shd w:fill="e6e6e6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shd w:fill="e6e6e6" w:val="clear"/>
          <w:rtl w:val="0"/>
        </w:rPr>
        <w:t xml:space="preserve">FUNDAMENTO LEGAL</w:t>
      </w:r>
    </w:p>
    <w:p w:rsidR="00000000" w:rsidDel="00000000" w:rsidP="00000000" w:rsidRDefault="00000000" w:rsidRPr="00000000">
      <w:pPr>
        <w:spacing w:after="120" w:before="0" w:line="240" w:lineRule="auto"/>
        <w:ind w:left="120" w:right="12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A aplicação dos recursos do FSA é regida pelas disposições da Lei nº 11.437, de 28 de dezembro de 2006, do Decreto nº 6.299, de 12 de dezembro de 2007, e pelo Regulamento Geral do Programa de Apoio ao Desenvolvimento do Audiovisual Brasileiro - PRODAV.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120" w:before="0" w:line="240" w:lineRule="auto"/>
        <w:ind w:left="480" w:right="120" w:hanging="360"/>
        <w:jc w:val="both"/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shd w:fill="e6e6e6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shd w:fill="e6e6e6" w:val="clear"/>
          <w:rtl w:val="0"/>
        </w:rPr>
        <w:t xml:space="preserve">DEFINIÇÕES</w:t>
      </w:r>
    </w:p>
    <w:p w:rsidR="00000000" w:rsidDel="00000000" w:rsidP="00000000" w:rsidRDefault="00000000" w:rsidRPr="00000000">
      <w:pPr>
        <w:spacing w:after="120" w:before="0" w:line="240" w:lineRule="auto"/>
        <w:ind w:left="120" w:right="12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Ressalvadas as definições constantes nos editais realizados pelos entes locais, os termos utilizados pelo FSA obedecem às definições da Medida Provisória nº 2.228-1, de 2001, da Lei nº 12.485, de 2011, das Instruções Normativas emitidas pela ANCINE, em especial as Instruções Normativas n. 91, 95, 100, 104, 105, 124 e 125 e pelo </w:t>
      </w:r>
      <w:hyperlink r:id="rId5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000ff"/>
            <w:sz w:val="22"/>
            <w:szCs w:val="22"/>
            <w:u w:val="single"/>
            <w:rtl w:val="0"/>
          </w:rPr>
          <w:t xml:space="preserve">Regulamento Geral do PRODAV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120" w:before="0" w:line="240" w:lineRule="auto"/>
        <w:ind w:left="480" w:right="120" w:hanging="360"/>
        <w:jc w:val="both"/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shd w:fill="e6e6e6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shd w:fill="e6e6e6" w:val="clear"/>
          <w:rtl w:val="0"/>
        </w:rPr>
        <w:t xml:space="preserve">DAS CARACTERÍSTICAS DOS PROJETOS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Os projetos audiovisuais deverão ter como objetivo a distribuição de obras de longa-metragem brasileiras e independentes nos termos dos incisos IV e V do art. 1° da Medida Provisória nº 2.228-1, de 6 de setembro de 2001, realizados por produtora brasileira independente, nos termos da Lei nº 12.485, de 12 de setembro de 2011.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Caso a empresa produtora da obra a ser distribuída também exerça a atividade de distribuidora, condição esta que deverá ser comprovada pelo registro do CNAE de distribuição da empresa na ANCINE, será permitido o acúmulo das duas funções pela mesma empresa.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Serão aceitos projetos distribuídos em regime de codistribuição, sendo a distribuidora interveniente no contrato a responsável pelo repasse de todas as receitas comerciais dos segmentos de mercado explorados. Será facultado às codistribuidoras assumirem conjuntamente o papel de interveniente no contrato de investimento.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É expressamente vedada a celebração de contratos de sublicenciamento, no território nacional, pela distribuidora no segmento de salas de exibição.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No caso previsto no item acima, a empresa produtora deverá encaminhar declaração de distribuição própria, na qual constem a discriminação expressa dos segmentos de mercado explorados (incluindo, necessariamente, o mercado de salas. Quando da celebração do contrato de investimento do FSA, a empresa assumirá também as obrigações que caberiam à distribuidora.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No caso de distribuição própria pela empresa produtora ou empresa do mesmo grupo econômico, não será permitido o estabelecimento de comissão de distribuição.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O prazo de lançamento comercial da obra audiovisual será de até 12 (doze) meses, contado a partir da data do desembolso dos recursos do FSA.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120" w:before="0" w:line="240" w:lineRule="auto"/>
        <w:ind w:left="480" w:right="120" w:hanging="360"/>
        <w:jc w:val="both"/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shd w:fill="e6e6e6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shd w:fill="e6e6e6" w:val="clear"/>
          <w:rtl w:val="0"/>
        </w:rPr>
        <w:t xml:space="preserve">PROJETOS APROVADOS PELA ANCINE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Caso o projeto esteja aprovado na ANCINE para captação de recursos incentivados, o orçamento relativo aos itens financiáveis apresentado ao FSA deve ser idêntico ao deliberado por aquele órgão.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Projetos aprovados pela ANCINE deverão, ainda, estar dentro do prazo de captação autorizado pelo referido órgão.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A aprovação pela ANCINE de qualquer alteração no orçamento será necessariamente considerada para fins de atualização da proposta remetida ao FSA.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No caso de o projeto apresentado já ter sido aprovado na ANCINE para captação de recursos incentivados, a inscrição no edital local deverá ser realizada obrigatoriamente pela empresa produtora responsável pelo projeto na ANCINE.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120" w:before="0" w:line="240" w:lineRule="auto"/>
        <w:ind w:left="480" w:right="120" w:hanging="360"/>
        <w:jc w:val="both"/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shd w:fill="e6e6e6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shd w:fill="e6e6e6" w:val="clear"/>
          <w:rtl w:val="0"/>
        </w:rPr>
        <w:t xml:space="preserve">DIREITOS SOBRE OS CONTEÚDOS AUDIOVISUAIS</w:t>
      </w:r>
    </w:p>
    <w:p w:rsidR="00000000" w:rsidDel="00000000" w:rsidP="00000000" w:rsidRDefault="00000000" w:rsidRPr="00000000">
      <w:pPr>
        <w:spacing w:after="120" w:before="0" w:line="240" w:lineRule="auto"/>
        <w:ind w:left="120" w:right="12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Os direitos sobre a obra audiovisual objeto do investimento do FSA deverão observar o capítulo VI do Regulamento Geral do PRODAV, no que couber ao segmento inicial de exibição da obra audiovisual.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120" w:before="0" w:line="240" w:lineRule="auto"/>
        <w:ind w:left="480" w:right="120" w:hanging="360"/>
        <w:jc w:val="both"/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shd w:fill="e6e6e6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shd w:fill="e6e6e6" w:val="clear"/>
          <w:rtl w:val="0"/>
        </w:rPr>
        <w:t xml:space="preserve">ITENS FINANCIÁVEIS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São considerados itens financiáveis todas as despesas relativas à comercialização da obra audiovisual no território brasileiro, tais como despesas de confecção e distribuição das cópias digitais ou em película das obras audiovisuais; agendamento de sessões para exibição em salas de cinema em equipamento digital; equipe de lançamento, com exceção de cachê para diretores e atores; ações promocionais e despesas realizadas com produção e veiculação de publicidade relativa à obra, despesas com exibição em espaços alternativos, desde que a título oneroso, despesas com adaptação do formato para outras plataformas (encode) e despesas administrativas associadas à distribuição.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São considerados itens não-financiáveis: remuneração dos serviços de gerenciamento e execução do projeto; despesas de produção da obra cinematográfica; pagamento de despesas associadas à classificação indicativa e da Contribuição para o Desenvolvimento da Indústria Nacional - Condecine; despesas com bebidas alcoólicas, inclusive na realização de eventos de lançamento e pré-estréias e despesas gerais de custeio das empresas.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120" w:before="0" w:line="240" w:lineRule="auto"/>
        <w:ind w:left="480" w:right="120" w:hanging="360"/>
        <w:jc w:val="both"/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shd w:fill="e6e6e6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shd w:fill="e6e6e6" w:val="clear"/>
          <w:rtl w:val="0"/>
        </w:rPr>
        <w:t xml:space="preserve">DA CONTRATAÇÃO DO FSA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Para cada projeto selecionado pelo edital local, será assinado contrato de investimento entre a empresa proponente e o agente financeiro do FSA, o BRDE, contendo as condições estipuladas na minuta de contrato disponibilizada no seu sítio eletrônico, tendo como objeto o investimento para a distribuição da obra audiovisual e a correspondente participação do FSA nas receitas.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O contrato de investimento do FSA terá como proponente, ou interveniente, conforme previsto no edital local, a empresa distribuidora, que assumirá a responsabilidade pelo lançamento comercial da obra, pelo fornecimento de informações relativas aos seus resultados comerciais e pela operacionalização dos repasses ao FSA das receitas comerciais geridas por ela, mantida a responsabilidade da proponente pelo cumprimento dessas obrigações.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Será exigido para a contratação dos recursos do FSA contrato de distribuição entre a empresa distribuidora e a empresa produtora da obra.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No caso de projeto de distribuição já aprovado pela ANCINE para captação de recursos incentivados federais e/ou selecionados anteriormente pelo FSA, seu plano de financiamento aprovado deve incluir os recursos do órgão ou entidade local e do FSA, para o qual poderá solicitar remanejamento de fontes.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A proponente deverá realizar, no prazo máximo de 120 (cento e vinte) dias, contados a partir da data de desembolso integral dos recursos de responsabilidade do ente local para o projeto ou, nos casos em que não haja recursos do ente local para o projeto, a partir da data do desembolso integral do ente local para todos os projetos de sua responsabilidade, os seguintes procedimentos: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Envio de documentação ao BRDE, conforme disponível no sítio eletrônico do Banco, no seguinte link: 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00000"/>
            <w:sz w:val="24"/>
            <w:szCs w:val="24"/>
            <w:rtl w:val="0"/>
          </w:rPr>
          <w:t xml:space="preserve">http://www.brde.com.br/fsa/chamadas-publicas/arranjos-regionais/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Caso o valor do aporte dos recursos do edital local, incluindo o FSA, não representem ao menos 80% (oitenta por cento) dos itens financiáveis da parte brasileira, a proponente deverá comprovar a captação dos recursos adicionais nos termos e documentos relacionados nos artigos 52, 53 e 54 da Instrução Normativa ANCINE nº 125, de 22 de dezembro de 2015.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As proponentes e intervenientes, quando houver, deverão estar adimplentes perante a ANCINE, o FSA e o BRDE, além de comprovarem regularidade fiscal, previdenciária, trabalhista, para com o Fundo de Garantia do Tempo de Serviço – FGTS e no CADIN (Cadastro Informativo dos Créditos não quitados de órgãos e entidades federais).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Após o exame da documentação apresentada para contratação, caso seja verificada a ausência ou insuficiência dos documentos exigidos ou ainda a inadequação das informações solicitadas, será enviada diligência à proponente, que terá um prazo de 30 (trinta) dias, para anexar a resposta e os documentos corrigidos na página do projeto no sistema de inscrição eletrônica do FSA. Caso a diligência não seja atendida no prazo estabelecido, a proposta será arquivada.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Após o atendimento dos procedimentos necessários para contratação do investimento, será encaminhado o contrato para assinatura da proponente, que deverá devolvê-lo ao BRDE em até 30 (trinta) dias corridos após o recebimento. Caso o contrato não seja devolvido no prazo estabelecido, a proposta será arquivada.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A empresa contratada pelo agente financeiro do FSA será responsável pela execução operacional, gerencial e financeira do projeto e pelas obrigações relativas ao repasse das receitas decorrentes da exploração comercial da obra.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O desembolso dos recursos do FSA ora investidos far-se-á mediante depósito em conta-corrente vinculada exclusivamente a este instrumento, aberta pela proponente e comunicada ao BRDE, mediante comprovação da emissão do Certificado de Registro de Título - CRT para o segmento de mercado de salas de cinema.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120" w:before="0" w:line="240" w:lineRule="auto"/>
        <w:ind w:left="480" w:right="120" w:hanging="360"/>
        <w:jc w:val="both"/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shd w:fill="e6e6e6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shd w:fill="e6e6e6" w:val="clear"/>
          <w:rtl w:val="0"/>
        </w:rPr>
        <w:t xml:space="preserve">RESPONSABILIDADE DAS EMPRESAS PRODUTORA E DISTRIBUIDORA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As empresas produtoras e distribuidoras, no que lhe couberem, deverão observar, nos contratos e acordos com terceiros, a participação do FSA na Receita Bruta de Distribuição (RBD) auferida na comercialização da obra.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Para fins de cumprimento da previsão normativa relativa à logomarca, deverão ser observadas as disposições previstas no Manual de Identidade Visual do BRDE e na Instrução Normativa ANCINE nº 85/2009, ou norma que vier a sucedê-la.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120" w:before="0" w:line="240" w:lineRule="auto"/>
        <w:ind w:left="480" w:right="120" w:hanging="360"/>
        <w:jc w:val="both"/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shd w:fill="e6e6e6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shd w:fill="e6e6e6" w:val="clear"/>
          <w:rtl w:val="0"/>
        </w:rPr>
        <w:t xml:space="preserve">RETORNO DO INVESTIMENTO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O retorno dos valores investidos pelo FSA será definido de acordo com as normas dispostas na seção VIII do Capítulo IV do Regulamento Geral do PRODAV, no que couber à projetos de distribuição.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O retorno dos valores investidos pelo FSA se dará na forma de participação sobre a Receita Bruta de Distribuição (RBD), nos termos do item 75 do Regulamento Geral do PRODAV, e de retenção prioritária da Receita Líquida de Distribuição (RLD), nos termos dos itens 9.3 a 9.9 deste anexo.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Será exigida a retenção prioritária da Receita Líquida de Distribuição (RLD) até a recuperação do valor integral do investimento do FSA no projeto de distribuição.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Entende-se por Receita Líquida de Distribuição - RLD o valor da Receita Bruta de Distribuição (RBD), deduzidos os valores correspondentes às comissões de Distribuição e/ou Venda.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A retenção prioritária do FSA será proporcional à participação do investimento do FSA no total dos itens financiáveis do orçamento do projeto de distribuição, considerando-se apenas as fontes de financiamento recuperáveis, que deverão ser comprovadas na prestação de contas do projeto.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Caso as despesas de comercialização recuperáveis efetivamente realizadas sejam inferiores ao orçamento apresentado na inscrição da proposta ao FSA, a retenção prioritária do FSA será recalculada proporcionalmente às despesas de comercialização recuperáveis efetivamente comprovadas pela distribuidora interveniente.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Entende-se como fontes de financiamento recuperáveis os aportes realizados pela distribuidora ou por terceiros que serão retidos anteriormente à apuração da receita líquida do produtor, excluídos recursos de natureza não-reembolsável.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A retenção prioritária do FSA cessará com a recuperação integral, não corrigida, do valor investido.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Caso a retenção prioritária do FSA sobre a Receita Líquida de Distribuição (RLD) não seja suficiente para o retorno do investimento do FSA, tal retenção se aplicará aos demais segmentos de mercado, até o retorno integral do valor investido pelo FSA.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120" w:before="0" w:line="240" w:lineRule="auto"/>
        <w:ind w:left="480" w:right="120" w:hanging="360"/>
        <w:jc w:val="both"/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shd w:fill="e6e6e6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shd w:fill="e6e6e6" w:val="clear"/>
          <w:rtl w:val="0"/>
        </w:rPr>
        <w:t xml:space="preserve">PRESTAÇÃO DE CONTAS DO FSA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A contratada do projeto selecionado deverá apresentar ao BRDE o conjunto de documentos que proporcionem a aferição do cumprimento do objeto do projeto e a correta e regular aplicação dos recursos investidos pelo FSA até o dia 15 (quinze) do quinto mês seguinte à data de lançamento comercial da obra.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A prestação de contas será analisada pelo BRDE de acordo com as normas específicas do FSA, sendo aplicadas, subsidiariamente, as regras da ANCINE.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O período para admissão de documentos fiscais que comprovem despesas relativas aos itens financiáveis pelo FSA será compreendido entre as seguintes datas, excluído o dia do começo e incluído o do vencimento: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120" w:lineRule="auto"/>
        <w:ind w:left="12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Data inicial, a que for anterior: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120" w:lineRule="auto"/>
        <w:ind w:left="192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data do encerramento das inscrições em Chamada Pública do FSA, incluindo chamadas realizadas por parceiros institucionais, no caso de processos seletivos realizados por concurso;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120" w:lineRule="auto"/>
        <w:ind w:left="192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data da inscrição do projeto em Chamada Pública do FSA, incluindo chamadas realizadas por parceiros institucionais, no caso de processos seletivos realizados por meio de fluxo contínuo;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120" w:lineRule="auto"/>
        <w:ind w:left="192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data de apresentação da proposta de destinação, no caso do Suporte Automático; ou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120" w:lineRule="auto"/>
        <w:ind w:left="192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data de publicação no Diário Oficial da União da habilitação para captação de recursos incentivados, caso esta autorização esteja válida na data de contratação do projeto pelo FSA.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120" w:lineRule="auto"/>
        <w:ind w:left="12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Data final: até 4 (quatro) meses após a Data de Lançamento da OBRA ou da data de desembolso dos recursos do FSA, o que ocorrer por último, para projetos de distribuição.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Deverão ser apresentados também, quando houver, comprovantes de recolhimentos de saldo da conta corrente, da aplicação de recursos e comprovante de encerramento da conta corrente, compreendendo o período da abertura até seu encerramento.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Além dos documentos acima relacionados, poderão ser solicitados, a qualquer tempo, esclarecimentos e documentos complementares que se fizerem necessários à análise da correta execução do objeto do projeto e da regular aplicação dos recursos públicos para ele disponibilizados.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after="120" w:before="0" w:line="240" w:lineRule="auto"/>
        <w:ind w:left="709" w:right="120" w:hanging="567"/>
        <w:jc w:val="both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As despesas deverão englobar as atividades necessárias e inerentes à realização dos serviços contratados.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120" w:before="0" w:line="240" w:lineRule="auto"/>
        <w:ind w:left="480" w:right="120" w:hanging="360"/>
        <w:jc w:val="both"/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shd w:fill="e6e6e6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shd w:fill="e6e6e6" w:val="clear"/>
          <w:rtl w:val="0"/>
        </w:rPr>
        <w:t xml:space="preserve">SANÇÕES</w:t>
      </w:r>
    </w:p>
    <w:p w:rsidR="00000000" w:rsidDel="00000000" w:rsidP="00000000" w:rsidRDefault="00000000" w:rsidRPr="00000000">
      <w:pPr>
        <w:spacing w:after="120" w:before="0" w:line="240" w:lineRule="auto"/>
        <w:ind w:left="120" w:right="12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As sanções e penalidades decorrentes da incorreta execução física e financeira do projeto estão dispostas nas minutas de contrato de investimento, disponibilizada na internet no endereço eletrônico 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000ff"/>
            <w:sz w:val="22"/>
            <w:szCs w:val="22"/>
            <w:u w:val="single"/>
            <w:rtl w:val="0"/>
          </w:rPr>
          <w:t xml:space="preserve">www.brde.com.br/fsa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>
      <w:pPr>
        <w:spacing w:after="120" w:lineRule="auto"/>
        <w:contextualSpacing w:val="0"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/>
      <w:pgMar w:bottom="1417" w:top="1417" w:left="1701" w:right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Cambria"/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after="0" w:before="0" w:line="240" w:lineRule="auto"/>
      <w:contextualSpacing w:val="0"/>
      <w:jc w:val="right"/>
    </w:pPr>
    <w:fldSimple w:instr="PAGE" w:fldLock="0" w:dirty="0"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</w:rPr>
      </w:r>
    </w:fldSimple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tabs>
        <w:tab w:val="center" w:pos="4252"/>
        <w:tab w:val="right" w:pos="8504"/>
      </w:tabs>
      <w:spacing w:after="708" w:before="0" w:line="240" w:lineRule="auto"/>
      <w:ind w:right="360"/>
      <w:contextualSpacing w:val="0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Rule="auto"/>
      <w:contextualSpacing w:val="0"/>
      <w:jc w:val="center"/>
    </w:pPr>
    <w:r w:rsidDel="00000000" w:rsidR="00000000" w:rsidRPr="00000000">
      <w:drawing>
        <wp:inline distB="114300" distT="114300" distL="114300" distR="114300">
          <wp:extent cx="5402580" cy="1143000"/>
          <wp:effectExtent b="0" l="0" r="0" t="0"/>
          <wp:docPr descr="Site-05.jpg" id="1" name="image01.jpg"/>
          <a:graphic>
            <a:graphicData uri="http://schemas.openxmlformats.org/drawingml/2006/picture">
              <pic:pic>
                <pic:nvPicPr>
                  <pic:cNvPr descr="Site-05.jpg" id="0" name="image0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02580" cy="1143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lowerLetter"/>
      <w:lvlText w:val="%1."/>
      <w:lvlJc w:val="left"/>
      <w:pPr>
        <w:ind w:left="720" w:firstLine="360"/>
      </w:pPr>
      <w:rPr/>
    </w:lvl>
    <w:lvl w:ilvl="1">
      <w:start w:val="1"/>
      <w:numFmt w:val="lowerRoman"/>
      <w:lvlText w:val="%2."/>
      <w:lvlJc w:val="right"/>
      <w:pPr>
        <w:ind w:left="1440" w:firstLine="1080"/>
      </w:pPr>
      <w:rPr/>
    </w:lvl>
    <w:lvl w:ilvl="2">
      <w:start w:val="1"/>
      <w:numFmt w:val="lowerLetter"/>
      <w:lvlText w:val="%3."/>
      <w:lvlJc w:val="left"/>
      <w:pPr>
        <w:ind w:left="2160" w:firstLine="1800"/>
      </w:pPr>
      <w:rPr/>
    </w:lvl>
    <w:lvl w:ilvl="3">
      <w:start w:val="1"/>
      <w:numFmt w:val="lowerLetter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Letter"/>
      <w:lvlText w:val="%6."/>
      <w:lvlJc w:val="left"/>
      <w:pPr>
        <w:ind w:left="4320" w:firstLine="3960"/>
      </w:pPr>
      <w:rPr/>
    </w:lvl>
    <w:lvl w:ilvl="6">
      <w:start w:val="1"/>
      <w:numFmt w:val="lowerLetter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Letter"/>
      <w:lvlText w:val="%9."/>
      <w:lvlJc w:val="left"/>
      <w:pPr>
        <w:ind w:left="6480" w:firstLine="612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480" w:firstLine="120"/>
      </w:pPr>
      <w:rPr/>
    </w:lvl>
    <w:lvl w:ilvl="1">
      <w:start w:val="1"/>
      <w:numFmt w:val="decimal"/>
      <w:lvlText w:val="%1.%2."/>
      <w:lvlJc w:val="left"/>
      <w:pPr>
        <w:ind w:left="480" w:firstLine="120"/>
      </w:pPr>
      <w:rPr/>
    </w:lvl>
    <w:lvl w:ilvl="2">
      <w:start w:val="1"/>
      <w:numFmt w:val="decimal"/>
      <w:lvlText w:val="%1.%2.%3."/>
      <w:lvlJc w:val="left"/>
      <w:pPr>
        <w:ind w:left="840" w:firstLine="120"/>
      </w:pPr>
      <w:rPr/>
    </w:lvl>
    <w:lvl w:ilvl="3">
      <w:start w:val="1"/>
      <w:numFmt w:val="decimal"/>
      <w:lvlText w:val="%1.%2.%3.%4."/>
      <w:lvlJc w:val="left"/>
      <w:pPr>
        <w:ind w:left="840" w:firstLine="120"/>
      </w:pPr>
      <w:rPr/>
    </w:lvl>
    <w:lvl w:ilvl="4">
      <w:start w:val="1"/>
      <w:numFmt w:val="decimal"/>
      <w:lvlText w:val="%1.%2.%3.%4.%5."/>
      <w:lvlJc w:val="left"/>
      <w:pPr>
        <w:ind w:left="1200" w:firstLine="120"/>
      </w:pPr>
      <w:rPr/>
    </w:lvl>
    <w:lvl w:ilvl="5">
      <w:start w:val="1"/>
      <w:numFmt w:val="decimal"/>
      <w:lvlText w:val="%1.%2.%3.%4.%5.%6."/>
      <w:lvlJc w:val="left"/>
      <w:pPr>
        <w:ind w:left="1200" w:firstLine="120"/>
      </w:pPr>
      <w:rPr/>
    </w:lvl>
    <w:lvl w:ilvl="6">
      <w:start w:val="1"/>
      <w:numFmt w:val="decimal"/>
      <w:lvlText w:val="%1.%2.%3.%4.%5.%6.%7."/>
      <w:lvlJc w:val="left"/>
      <w:pPr>
        <w:ind w:left="1560" w:firstLine="120"/>
      </w:pPr>
      <w:rPr/>
    </w:lvl>
    <w:lvl w:ilvl="7">
      <w:start w:val="1"/>
      <w:numFmt w:val="decimal"/>
      <w:lvlText w:val="%1.%2.%3.%4.%5.%6.%7.%8."/>
      <w:lvlJc w:val="left"/>
      <w:pPr>
        <w:ind w:left="1560" w:firstLine="120"/>
      </w:pPr>
      <w:rPr/>
    </w:lvl>
    <w:lvl w:ilvl="8">
      <w:start w:val="1"/>
      <w:numFmt w:val="decimal"/>
      <w:lvlText w:val="%1.%2.%3.%4.%5.%6.%7.%8.%9."/>
      <w:lvlJc w:val="left"/>
      <w:pPr>
        <w:ind w:left="1920" w:firstLine="12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120" w:line="240" w:lineRule="auto"/>
      <w:ind w:left="454" w:firstLine="0"/>
      <w:jc w:val="center"/>
    </w:pPr>
    <w:rPr>
      <w:rFonts w:ascii="Arial" w:cs="Arial" w:eastAsia="Arial" w:hAnsi="Arial"/>
      <w:b w:val="1"/>
      <w:smallCaps w:val="1"/>
      <w:color w:val="ff0000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="276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="240" w:lineRule="auto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="240" w:lineRule="auto"/>
      <w:jc w:val="center"/>
    </w:pPr>
    <w:rPr>
      <w:rFonts w:ascii="Arial Narrow" w:cs="Arial Narrow" w:eastAsia="Arial Narrow" w:hAnsi="Arial Narrow"/>
      <w:b w:val="1"/>
      <w:smallCap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120" w:before="0" w:line="240" w:lineRule="auto"/>
      <w:jc w:val="center"/>
    </w:pPr>
    <w:rPr>
      <w:rFonts w:ascii="Arial Narrow" w:cs="Arial Narrow" w:eastAsia="Arial Narrow" w:hAnsi="Arial Narrow"/>
      <w:b w:val="1"/>
      <w:i w:val="1"/>
      <w:smallCaps w:val="1"/>
      <w:color w:val="666666"/>
      <w:sz w:val="20"/>
      <w:szCs w:val="2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5" Type="http://schemas.openxmlformats.org/officeDocument/2006/relationships/hyperlink" Target="http://fsa.ancine.gov.br/normas/regulamento-geral-do-prodav" TargetMode="External"/><Relationship Id="rId6" Type="http://schemas.openxmlformats.org/officeDocument/2006/relationships/hyperlink" Target="http://www.brde.com.br/fsa/chamadas-publicas/arranjos-regionais/" TargetMode="External"/><Relationship Id="rId7" Type="http://schemas.openxmlformats.org/officeDocument/2006/relationships/hyperlink" Target="http://www.brde.com.br/fsa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jpg"/></Relationships>
</file>